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7" w:rsidRDefault="00770410" w:rsidP="00B76DCC">
      <w:pPr>
        <w:spacing w:line="240" w:lineRule="atLeast"/>
      </w:pPr>
      <w:r>
        <w:t>Broj RKP-a: 22970</w:t>
      </w:r>
    </w:p>
    <w:p w:rsidR="00770410" w:rsidRDefault="00770410" w:rsidP="00B76DCC">
      <w:pPr>
        <w:spacing w:line="240" w:lineRule="atLeast"/>
      </w:pPr>
      <w:r>
        <w:t>Matični broj: 0335724</w:t>
      </w:r>
    </w:p>
    <w:p w:rsidR="00770410" w:rsidRDefault="00770410" w:rsidP="00B76DCC">
      <w:pPr>
        <w:spacing w:line="240" w:lineRule="atLeast"/>
      </w:pPr>
      <w:r>
        <w:t>OIB: 99262709388</w:t>
      </w:r>
    </w:p>
    <w:p w:rsidR="00770410" w:rsidRPr="00105C7A" w:rsidRDefault="00770410" w:rsidP="00B76DCC">
      <w:pPr>
        <w:spacing w:line="240" w:lineRule="atLeast"/>
        <w:rPr>
          <w:b/>
        </w:rPr>
      </w:pPr>
      <w:r w:rsidRPr="00105C7A">
        <w:rPr>
          <w:b/>
        </w:rPr>
        <w:t>Naziv obveznika: Osnovna škola „Dr. Franjo Tuđman“</w:t>
      </w:r>
    </w:p>
    <w:p w:rsidR="00770410" w:rsidRPr="00105C7A" w:rsidRDefault="00770410" w:rsidP="00B76DCC">
      <w:pPr>
        <w:spacing w:line="240" w:lineRule="atLeast"/>
        <w:rPr>
          <w:b/>
        </w:rPr>
      </w:pPr>
      <w:r w:rsidRPr="00105C7A">
        <w:rPr>
          <w:b/>
        </w:rPr>
        <w:t>Pošta i mjesto: 31 300 Beli Manastir</w:t>
      </w:r>
    </w:p>
    <w:p w:rsidR="00770410" w:rsidRPr="00105C7A" w:rsidRDefault="00770410" w:rsidP="00B76DCC">
      <w:pPr>
        <w:spacing w:line="240" w:lineRule="atLeast"/>
        <w:rPr>
          <w:b/>
        </w:rPr>
      </w:pPr>
      <w:r w:rsidRPr="00105C7A">
        <w:rPr>
          <w:b/>
        </w:rPr>
        <w:t>Ulica i kućni broj: Svetog Martina 16</w:t>
      </w:r>
    </w:p>
    <w:p w:rsidR="00770410" w:rsidRDefault="00770410" w:rsidP="00B76DCC">
      <w:pPr>
        <w:spacing w:line="240" w:lineRule="atLeast"/>
      </w:pPr>
      <w:r>
        <w:t>Razina: 31</w:t>
      </w:r>
    </w:p>
    <w:p w:rsidR="00770410" w:rsidRDefault="00770410" w:rsidP="00B76DCC">
      <w:pPr>
        <w:spacing w:line="240" w:lineRule="atLeast"/>
      </w:pPr>
      <w:r>
        <w:t>Šifra djelatnosti: 8520</w:t>
      </w:r>
    </w:p>
    <w:p w:rsidR="00770410" w:rsidRDefault="00770410" w:rsidP="00B76DCC">
      <w:pPr>
        <w:spacing w:line="240" w:lineRule="atLeast"/>
      </w:pPr>
      <w:r>
        <w:t>Razdjel: 000</w:t>
      </w:r>
    </w:p>
    <w:p w:rsidR="00770410" w:rsidRDefault="00770410" w:rsidP="00B76DCC">
      <w:pPr>
        <w:spacing w:line="240" w:lineRule="atLeast"/>
      </w:pPr>
      <w:r>
        <w:t>Šifra grada/općine: 013</w:t>
      </w:r>
    </w:p>
    <w:p w:rsidR="00770410" w:rsidRDefault="00770410" w:rsidP="00B76DCC">
      <w:pPr>
        <w:spacing w:line="240" w:lineRule="atLeast"/>
      </w:pPr>
      <w:r>
        <w:t>IBAN:</w:t>
      </w:r>
      <w:r w:rsidR="00105C7A">
        <w:t xml:space="preserve"> HR2423600001800014000 , podračun: IBAN HR1423600001502688034</w:t>
      </w:r>
    </w:p>
    <w:p w:rsidR="00770410" w:rsidRDefault="00770410"/>
    <w:p w:rsidR="00770410" w:rsidRPr="00105C7A" w:rsidRDefault="00770410" w:rsidP="00105C7A">
      <w:pPr>
        <w:jc w:val="center"/>
        <w:rPr>
          <w:b/>
          <w:sz w:val="24"/>
          <w:szCs w:val="24"/>
          <w:u w:val="single"/>
        </w:rPr>
      </w:pPr>
      <w:r w:rsidRPr="00105C7A">
        <w:rPr>
          <w:b/>
          <w:sz w:val="24"/>
          <w:szCs w:val="24"/>
          <w:u w:val="single"/>
        </w:rPr>
        <w:t>BILJEŠKE UZ FINANCIJSKO IZVJEŠĆE ZA RAZDOBLJE OD 1. SIJEČNJA DO 31. PROSINCA 202</w:t>
      </w:r>
      <w:r w:rsidR="0094681C">
        <w:rPr>
          <w:b/>
          <w:sz w:val="24"/>
          <w:szCs w:val="24"/>
          <w:u w:val="single"/>
        </w:rPr>
        <w:t>2</w:t>
      </w:r>
      <w:r w:rsidRPr="00105C7A">
        <w:rPr>
          <w:b/>
          <w:sz w:val="24"/>
          <w:szCs w:val="24"/>
          <w:u w:val="single"/>
        </w:rPr>
        <w:t>. GODINE</w:t>
      </w:r>
    </w:p>
    <w:p w:rsidR="00770410" w:rsidRDefault="00D54C09" w:rsidP="005F5C65">
      <w:pPr>
        <w:jc w:val="both"/>
      </w:pPr>
      <w:r>
        <w:t>Prema čl. 6</w:t>
      </w:r>
      <w:r w:rsidR="00770410" w:rsidRPr="00770410">
        <w:t xml:space="preserve"> Pravilnika o financijskom izvještavanju u proračunskom</w:t>
      </w:r>
      <w:r>
        <w:t xml:space="preserve"> računovodstvu ( Nar.nov. br.37/22</w:t>
      </w:r>
      <w:r w:rsidR="00770410">
        <w:t>) sastavljeno je financijsko izvješće za razdoblje od 01.01.202</w:t>
      </w:r>
      <w:r w:rsidR="0094681C">
        <w:t>2</w:t>
      </w:r>
      <w:r w:rsidR="00770410">
        <w:t>. do 31.12.202</w:t>
      </w:r>
      <w:r w:rsidR="0094681C">
        <w:t>2</w:t>
      </w:r>
      <w:r w:rsidR="00770410">
        <w:t>. g. koje se sastoji od propisanih</w:t>
      </w:r>
      <w:r w:rsidR="00091A29">
        <w:t xml:space="preserve"> godišnjih</w:t>
      </w:r>
      <w:r w:rsidR="00770410">
        <w:t xml:space="preserve"> obrazaca</w:t>
      </w:r>
      <w:r w:rsidR="00091A29">
        <w:t>: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Bilanca ( BIL)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prihodima i rashodima, primicima i izdacima (PR-RAS)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rashodima prema funkcijskoj klasifikaciji ( RAS- funkcijski)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promjenama u vrijednosti i obujmu imovine i obveza ( P-VRIO)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obvezama (OBVEZE)</w:t>
      </w:r>
    </w:p>
    <w:p w:rsidR="00091A29" w:rsidRDefault="000C1FD9" w:rsidP="005F5C65">
      <w:pPr>
        <w:jc w:val="both"/>
      </w:pPr>
      <w:r>
        <w:t>Prema čl.14</w:t>
      </w:r>
      <w:r w:rsidR="00D54C09">
        <w:t>-18</w:t>
      </w:r>
      <w:r>
        <w:t xml:space="preserve"> Pravilnika kao dopunu</w:t>
      </w:r>
      <w:r w:rsidR="00091A29">
        <w:t xml:space="preserve"> podataka uz financijsko izvješće izdvajamo slijedeće bilješke:</w:t>
      </w:r>
    </w:p>
    <w:p w:rsidR="00091A29" w:rsidRDefault="00091A29" w:rsidP="005F5C65">
      <w:pPr>
        <w:jc w:val="both"/>
      </w:pPr>
      <w:r>
        <w:t>Osnovna škola Dr. Franjo Tuđman je obrazovna ustanova koja pruža osnovnoškolsko obrazovanje od 1. do 8. razreda, te odgoj i obrazovanje učenicima sa poteškoćama u razvoju, također od 1. do 8. razreda.</w:t>
      </w:r>
    </w:p>
    <w:p w:rsidR="00091A29" w:rsidRDefault="00091A29" w:rsidP="005F5C65">
      <w:pPr>
        <w:jc w:val="both"/>
      </w:pPr>
      <w:r>
        <w:t>Školu polazi 4</w:t>
      </w:r>
      <w:r w:rsidR="0094681C">
        <w:t>48</w:t>
      </w:r>
      <w:r>
        <w:t xml:space="preserve"> učenik, od kojih je</w:t>
      </w:r>
      <w:r w:rsidR="0094681C">
        <w:t xml:space="preserve"> 411</w:t>
      </w:r>
      <w:r w:rsidR="00A45F27">
        <w:t xml:space="preserve"> učenika</w:t>
      </w:r>
      <w:r>
        <w:t xml:space="preserve"> u redovnom osnovno školskom obrazovanju, a </w:t>
      </w:r>
      <w:r w:rsidR="00A45F27">
        <w:t>3</w:t>
      </w:r>
      <w:r w:rsidR="009A78E2">
        <w:t>7</w:t>
      </w:r>
      <w:r w:rsidR="00A45F27">
        <w:t xml:space="preserve"> učenika</w:t>
      </w:r>
      <w:r>
        <w:t xml:space="preserve"> u posebnom školskom obrazovanju.</w:t>
      </w:r>
    </w:p>
    <w:p w:rsidR="0094628A" w:rsidRDefault="009A78E2" w:rsidP="005F5C65">
      <w:pPr>
        <w:jc w:val="both"/>
      </w:pPr>
      <w:r>
        <w:t>U školi je organiziran</w:t>
      </w:r>
      <w:r w:rsidR="00495F42">
        <w:t xml:space="preserve"> pr</w:t>
      </w:r>
      <w:r w:rsidR="0094681C">
        <w:t xml:space="preserve">oduženi boravak za učenike od 1., 2. i 3. </w:t>
      </w:r>
      <w:r w:rsidR="00495F42">
        <w:t xml:space="preserve">razreda kao rezultat projekta </w:t>
      </w:r>
      <w:r w:rsidR="0094628A">
        <w:t>„</w:t>
      </w:r>
      <w:r w:rsidR="00495F42">
        <w:t>Obrazovanje za sve</w:t>
      </w:r>
      <w:r w:rsidR="00A45F27">
        <w:t xml:space="preserve"> UP.02.1.2.06.0001</w:t>
      </w:r>
      <w:r w:rsidR="0094628A">
        <w:t>“</w:t>
      </w:r>
      <w:r w:rsidR="00A45F27">
        <w:t xml:space="preserve"> po kojem je </w:t>
      </w:r>
      <w:r w:rsidR="00495F42">
        <w:t>nositelj projekta: Grad Beli Manastir</w:t>
      </w:r>
      <w:r w:rsidR="00A45F27">
        <w:t>, a</w:t>
      </w:r>
      <w:r w:rsidR="00495F42">
        <w:t xml:space="preserve"> partner</w:t>
      </w:r>
      <w:r w:rsidR="00A45F27">
        <w:t xml:space="preserve"> projekta</w:t>
      </w:r>
      <w:r w:rsidR="00495F42">
        <w:t xml:space="preserve"> O.Š. Dr. Franjo Tuđman.</w:t>
      </w:r>
      <w:r w:rsidR="00105C7A">
        <w:t xml:space="preserve"> </w:t>
      </w:r>
    </w:p>
    <w:p w:rsidR="0094628A" w:rsidRDefault="0094628A" w:rsidP="005F5C65">
      <w:pPr>
        <w:jc w:val="both"/>
      </w:pPr>
      <w:r>
        <w:t xml:space="preserve">Nastava i organizacija rada u produženom boravku se u većem dijelu financira </w:t>
      </w:r>
      <w:r w:rsidR="009A78E2">
        <w:t xml:space="preserve">iz EU sredstava pod nazivom </w:t>
      </w:r>
      <w:r>
        <w:t xml:space="preserve">projekta „Obrazovanje za sve UP.02.1.2.06.0001“, dok </w:t>
      </w:r>
      <w:r w:rsidR="009A78E2">
        <w:t xml:space="preserve">se </w:t>
      </w:r>
      <w:r>
        <w:t xml:space="preserve">u manjem dijelu </w:t>
      </w:r>
      <w:r w:rsidR="009A78E2">
        <w:t xml:space="preserve">financira iz decentraliziranih </w:t>
      </w:r>
      <w:r>
        <w:t>sredst</w:t>
      </w:r>
      <w:r w:rsidR="009A78E2">
        <w:t>a</w:t>
      </w:r>
      <w:r>
        <w:t>v</w:t>
      </w:r>
      <w:r w:rsidR="009A78E2">
        <w:t>a</w:t>
      </w:r>
      <w:r>
        <w:t xml:space="preserve"> osnivača</w:t>
      </w:r>
      <w:r w:rsidR="009A78E2">
        <w:t xml:space="preserve">: </w:t>
      </w:r>
      <w:r>
        <w:t xml:space="preserve">Osječko- baranjske županije i </w:t>
      </w:r>
      <w:r w:rsidR="009A78E2">
        <w:t xml:space="preserve">još manjim dijelom </w:t>
      </w:r>
      <w:r>
        <w:t>sredstvim</w:t>
      </w:r>
      <w:r w:rsidR="008B0175">
        <w:t>a korisnika putem sufinanciranja</w:t>
      </w:r>
      <w:r>
        <w:t xml:space="preserve"> cijene usluge.</w:t>
      </w:r>
    </w:p>
    <w:p w:rsidR="009A78E2" w:rsidRDefault="00705A09" w:rsidP="00972B7D">
      <w:pPr>
        <w:jc w:val="both"/>
        <w:rPr>
          <w:b/>
          <w:sz w:val="24"/>
          <w:szCs w:val="24"/>
        </w:rPr>
      </w:pPr>
      <w:r>
        <w:t>Financijsko izv</w:t>
      </w:r>
      <w:r w:rsidR="008B0175">
        <w:t>ješće sastavila je Tihana Maletić</w:t>
      </w:r>
      <w:r>
        <w:t>, djelatnica na zamjeni voditelja računovodstva Škole, do povratka sa bolovanja Marijane Rožić.</w:t>
      </w:r>
    </w:p>
    <w:p w:rsidR="008108E3" w:rsidRPr="006242BC" w:rsidRDefault="008108E3" w:rsidP="00964E7C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242BC">
        <w:rPr>
          <w:b/>
          <w:sz w:val="24"/>
          <w:szCs w:val="24"/>
        </w:rPr>
        <w:lastRenderedPageBreak/>
        <w:t>BILJE</w:t>
      </w:r>
      <w:r w:rsidR="006242BC">
        <w:rPr>
          <w:b/>
          <w:sz w:val="24"/>
          <w:szCs w:val="24"/>
        </w:rPr>
        <w:t>Š</w:t>
      </w:r>
      <w:r w:rsidRPr="006242BC">
        <w:rPr>
          <w:b/>
          <w:sz w:val="24"/>
          <w:szCs w:val="24"/>
        </w:rPr>
        <w:t>KE UZ OBRAZAC PR-RAS</w:t>
      </w:r>
    </w:p>
    <w:p w:rsidR="00964E7C" w:rsidRPr="00105C7A" w:rsidRDefault="00964E7C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 xml:space="preserve">PRIHODI </w:t>
      </w:r>
      <w:r w:rsidR="004F4044" w:rsidRPr="00105C7A">
        <w:rPr>
          <w:b/>
          <w:u w:val="single"/>
        </w:rPr>
        <w:t>I</w:t>
      </w:r>
      <w:r w:rsidRPr="00105C7A">
        <w:rPr>
          <w:b/>
          <w:u w:val="single"/>
        </w:rPr>
        <w:t xml:space="preserve"> PRIMICI od 01.01.202</w:t>
      </w:r>
      <w:r w:rsidR="008F7F75">
        <w:rPr>
          <w:b/>
          <w:u w:val="single"/>
        </w:rPr>
        <w:t>2</w:t>
      </w:r>
      <w:r w:rsidRPr="00105C7A">
        <w:rPr>
          <w:b/>
          <w:u w:val="single"/>
        </w:rPr>
        <w:t>. do 31.12.202</w:t>
      </w:r>
      <w:r w:rsidR="008F7F75">
        <w:rPr>
          <w:b/>
          <w:u w:val="single"/>
        </w:rPr>
        <w:t>2</w:t>
      </w:r>
      <w:r w:rsidRPr="00105C7A">
        <w:rPr>
          <w:b/>
          <w:u w:val="single"/>
        </w:rPr>
        <w:t>.g.</w:t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  <w:t xml:space="preserve">      0,00/kn</w:t>
      </w:r>
    </w:p>
    <w:p w:rsidR="00964E7C" w:rsidRDefault="00964E7C" w:rsidP="00964E7C">
      <w:pPr>
        <w:jc w:val="both"/>
      </w:pPr>
      <w:r>
        <w:t>Tekuće pomoći (državni proračun</w:t>
      </w:r>
      <w:r w:rsidR="0003308C">
        <w:t>- 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D90BF7">
        <w:t>9.735.265,11</w:t>
      </w:r>
    </w:p>
    <w:p w:rsidR="00964E7C" w:rsidRDefault="00964E7C" w:rsidP="00964E7C">
      <w:pPr>
        <w:jc w:val="both"/>
      </w:pPr>
      <w:r>
        <w:t>Kapitalne pomoći (državni proračun</w:t>
      </w:r>
      <w:r w:rsidR="0003308C">
        <w:t>-MZO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  <w:t xml:space="preserve">   </w:t>
      </w:r>
      <w:r w:rsidR="00D90BF7">
        <w:t>232.011,46</w:t>
      </w:r>
    </w:p>
    <w:p w:rsidR="00964E7C" w:rsidRDefault="00964E7C" w:rsidP="00964E7C">
      <w:pPr>
        <w:jc w:val="both"/>
      </w:pPr>
      <w:r>
        <w:t>Teku</w:t>
      </w:r>
      <w:r w:rsidR="004F4044">
        <w:t>ć</w:t>
      </w:r>
      <w:r>
        <w:t>e pomoći</w:t>
      </w:r>
      <w:r w:rsidR="00140F21">
        <w:t xml:space="preserve"> temeljem prijenos</w:t>
      </w:r>
      <w:r w:rsidR="00D90BF7">
        <w:t>a EU sredstava</w:t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  <w:t xml:space="preserve">   545.314,24</w:t>
      </w:r>
    </w:p>
    <w:p w:rsidR="008F7F75" w:rsidRDefault="008F7F75" w:rsidP="00964E7C">
      <w:pPr>
        <w:jc w:val="both"/>
      </w:pPr>
      <w:r>
        <w:t>Kapitalne pomoći temeljem prijenosa EU sredstava                                                                          4.620,61</w:t>
      </w:r>
    </w:p>
    <w:p w:rsidR="00CB71FF" w:rsidRDefault="00CB71FF" w:rsidP="00964E7C">
      <w:pPr>
        <w:jc w:val="both"/>
      </w:pPr>
      <w:r>
        <w:t>Tekuće pomoći ( Grad Bel</w:t>
      </w:r>
      <w:r w:rsidR="00D90BF7">
        <w:t>i Manastir)</w:t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  <w:t xml:space="preserve">     33.343,50</w:t>
      </w:r>
    </w:p>
    <w:p w:rsidR="00964E7C" w:rsidRDefault="00964E7C" w:rsidP="00964E7C">
      <w:pPr>
        <w:jc w:val="both"/>
      </w:pPr>
      <w:r>
        <w:t>Prihodi od sufinanciranja cijene, usluge, participacije i sl.</w:t>
      </w:r>
      <w:r w:rsidR="004F4044">
        <w:tab/>
      </w:r>
      <w:r w:rsidR="004F4044">
        <w:tab/>
      </w:r>
      <w:r w:rsidR="004F4044">
        <w:tab/>
      </w:r>
      <w:r w:rsidR="004F4044">
        <w:tab/>
        <w:t xml:space="preserve">   </w:t>
      </w:r>
      <w:r w:rsidR="00140F21">
        <w:t xml:space="preserve"> </w:t>
      </w:r>
      <w:r w:rsidR="004F4044">
        <w:t xml:space="preserve">  </w:t>
      </w:r>
      <w:r w:rsidR="00D90BF7">
        <w:t>42.770,00</w:t>
      </w:r>
    </w:p>
    <w:p w:rsidR="00964E7C" w:rsidRDefault="00964E7C" w:rsidP="00964E7C">
      <w:pPr>
        <w:jc w:val="both"/>
      </w:pPr>
      <w:r>
        <w:t>Prihodi od prodaje proizvoda i robe  te pruženih usluga</w:t>
      </w:r>
      <w:r w:rsidR="00CB71FF">
        <w:tab/>
        <w:t xml:space="preserve">                                        </w:t>
      </w:r>
      <w:r w:rsidR="00D90BF7">
        <w:t xml:space="preserve">                       45.962,28</w:t>
      </w:r>
    </w:p>
    <w:p w:rsidR="00964E7C" w:rsidRDefault="00964E7C" w:rsidP="00964E7C">
      <w:pPr>
        <w:jc w:val="both"/>
      </w:pPr>
      <w:r>
        <w:t>Prihodi iz nadležnog proračuna za financiranje rashoda poslovanja</w:t>
      </w:r>
      <w:r w:rsidR="00140F21">
        <w:t xml:space="preserve"> (JLPS –OBŽ)</w:t>
      </w:r>
      <w:r w:rsidR="004F4044">
        <w:tab/>
      </w:r>
      <w:r w:rsidR="004F4044">
        <w:tab/>
      </w:r>
      <w:r w:rsidR="00D90BF7">
        <w:t>1.155.308,14</w:t>
      </w:r>
    </w:p>
    <w:p w:rsidR="00964E7C" w:rsidRDefault="00964E7C" w:rsidP="00964E7C">
      <w:pPr>
        <w:jc w:val="both"/>
      </w:pPr>
      <w:r>
        <w:t>Prihodi iz nadležnog proračuna za financiranje</w:t>
      </w:r>
      <w:r w:rsidR="004F4044">
        <w:t xml:space="preserve"> rashoda za nabavu nefin. Imovine</w:t>
      </w:r>
      <w:r w:rsidR="004F4044">
        <w:tab/>
        <w:t xml:space="preserve">      </w:t>
      </w:r>
      <w:r w:rsidR="00D90BF7">
        <w:t xml:space="preserve">  1.380,00</w:t>
      </w:r>
    </w:p>
    <w:p w:rsidR="004F4044" w:rsidRDefault="008F7F75" w:rsidP="00964E7C">
      <w:pPr>
        <w:jc w:val="both"/>
      </w:pPr>
      <w:r>
        <w:t>Ostali prihodi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10.357,00</w:t>
      </w:r>
    </w:p>
    <w:p w:rsidR="00CB71FF" w:rsidRDefault="00CB71FF" w:rsidP="00964E7C">
      <w:pPr>
        <w:jc w:val="both"/>
      </w:pPr>
      <w:r>
        <w:t>Donacije</w:t>
      </w:r>
      <w:r w:rsidR="00D90BF7">
        <w:t>-novčane</w:t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</w:r>
      <w:r w:rsidR="00D90BF7">
        <w:tab/>
        <w:t xml:space="preserve">      22.200,00</w:t>
      </w:r>
    </w:p>
    <w:p w:rsidR="00CB71FF" w:rsidRDefault="004F4044" w:rsidP="00964E7C">
      <w:pPr>
        <w:jc w:val="both"/>
      </w:pPr>
      <w:r w:rsidRPr="00BA5B87">
        <w:rPr>
          <w:b/>
        </w:rPr>
        <w:t>UKUPNI PRIHODI I PRIMICI</w:t>
      </w:r>
      <w:r w:rsidR="00CB71FF">
        <w:rPr>
          <w:b/>
        </w:rPr>
        <w:t xml:space="preserve">                                                                                        </w:t>
      </w:r>
      <w:r w:rsidR="00D90BF7">
        <w:rPr>
          <w:b/>
        </w:rPr>
        <w:t xml:space="preserve">                   11.828.532,34</w:t>
      </w:r>
      <w:r w:rsidRPr="00BA5B8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044" w:rsidRPr="00105C7A" w:rsidRDefault="004F4044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>RASHODI I IZDACI OD 01.01.202</w:t>
      </w:r>
      <w:r w:rsidR="008F7F75">
        <w:rPr>
          <w:b/>
          <w:u w:val="single"/>
        </w:rPr>
        <w:t>2</w:t>
      </w:r>
      <w:r w:rsidRPr="00105C7A">
        <w:rPr>
          <w:b/>
          <w:u w:val="single"/>
        </w:rPr>
        <w:t>. DO 31.12.202</w:t>
      </w:r>
      <w:r w:rsidR="008F7F75">
        <w:rPr>
          <w:b/>
          <w:u w:val="single"/>
        </w:rPr>
        <w:t>2</w:t>
      </w:r>
      <w:r w:rsidRPr="00105C7A">
        <w:rPr>
          <w:b/>
          <w:u w:val="single"/>
        </w:rPr>
        <w:t>.</w:t>
      </w:r>
      <w:r w:rsidR="00972B7D">
        <w:rPr>
          <w:b/>
          <w:u w:val="single"/>
        </w:rPr>
        <w:t xml:space="preserve">                                                                               0,00/kn</w:t>
      </w:r>
    </w:p>
    <w:p w:rsidR="004F4044" w:rsidRPr="004F4044" w:rsidRDefault="004F4044" w:rsidP="004F4044">
      <w:pPr>
        <w:jc w:val="both"/>
      </w:pPr>
      <w:r w:rsidRPr="004F4044">
        <w:t>Rashodi za zaposlene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F75">
        <w:t>9.858.651,69</w:t>
      </w:r>
    </w:p>
    <w:p w:rsidR="004F4044" w:rsidRDefault="004F4044" w:rsidP="004F4044">
      <w:pPr>
        <w:jc w:val="both"/>
      </w:pPr>
      <w:r w:rsidRPr="004F4044"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8F7F75">
        <w:t>757.180,85</w:t>
      </w:r>
    </w:p>
    <w:p w:rsidR="008F7F75" w:rsidRDefault="008F7F75" w:rsidP="004F4044">
      <w:pPr>
        <w:jc w:val="both"/>
      </w:pPr>
      <w:r>
        <w:t>Financijski rashodi                                                                                                                                         15,57</w:t>
      </w:r>
    </w:p>
    <w:p w:rsidR="008F7F75" w:rsidRPr="004F4044" w:rsidRDefault="008F7F75" w:rsidP="004F4044">
      <w:pPr>
        <w:jc w:val="both"/>
      </w:pPr>
      <w:r>
        <w:t>Pomoći unutar općeg proračuna                                                                                                              740,00</w:t>
      </w:r>
    </w:p>
    <w:p w:rsidR="004F4044" w:rsidRDefault="004F4044" w:rsidP="004F4044">
      <w:pPr>
        <w:jc w:val="both"/>
      </w:pPr>
      <w:r w:rsidRPr="004F4044">
        <w:t>Naknade gra</w:t>
      </w:r>
      <w:r>
        <w:t>đa</w:t>
      </w:r>
      <w:r w:rsidRPr="004F4044">
        <w:t>nima i ku</w:t>
      </w:r>
      <w:r>
        <w:t>ć</w:t>
      </w:r>
      <w:r w:rsidRPr="004F4044">
        <w:t>anstvima</w:t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</w:r>
      <w:r w:rsidR="006242BC">
        <w:tab/>
        <w:t xml:space="preserve">     </w:t>
      </w:r>
      <w:r w:rsidR="008F7F75">
        <w:t xml:space="preserve">      425,00</w:t>
      </w:r>
    </w:p>
    <w:p w:rsidR="006242BC" w:rsidRDefault="006242BC" w:rsidP="004F4044">
      <w:pPr>
        <w:jc w:val="both"/>
      </w:pPr>
      <w:r>
        <w:t>Rashodi za nabavu nefinancijske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F7F75">
        <w:t>294.950,53</w:t>
      </w:r>
    </w:p>
    <w:p w:rsidR="006242BC" w:rsidRDefault="006242BC" w:rsidP="004F4044">
      <w:pPr>
        <w:jc w:val="both"/>
        <w:rPr>
          <w:b/>
        </w:rPr>
      </w:pPr>
      <w:r w:rsidRPr="006242BC">
        <w:rPr>
          <w:b/>
        </w:rPr>
        <w:t>UKUPNI RASHODI I IZDACI</w:t>
      </w:r>
      <w:r w:rsidRPr="00624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2BC">
        <w:rPr>
          <w:b/>
        </w:rPr>
        <w:t xml:space="preserve">             </w:t>
      </w:r>
      <w:r w:rsidR="003E7F02">
        <w:rPr>
          <w:b/>
        </w:rPr>
        <w:t>11.911.963,64</w:t>
      </w:r>
    </w:p>
    <w:p w:rsidR="006242BC" w:rsidRPr="006242BC" w:rsidRDefault="008F7F75" w:rsidP="004F4044">
      <w:pPr>
        <w:jc w:val="both"/>
        <w:rPr>
          <w:b/>
        </w:rPr>
      </w:pPr>
      <w:r>
        <w:rPr>
          <w:b/>
        </w:rPr>
        <w:t>Manjak</w:t>
      </w:r>
      <w:r w:rsidR="006242BC">
        <w:rPr>
          <w:b/>
        </w:rPr>
        <w:t xml:space="preserve"> prihoda 1/12. 202</w:t>
      </w:r>
      <w:r>
        <w:rPr>
          <w:b/>
        </w:rPr>
        <w:t>2</w:t>
      </w:r>
      <w:r w:rsidR="006242BC">
        <w:rPr>
          <w:b/>
        </w:rPr>
        <w:t>.</w:t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972B7D">
        <w:rPr>
          <w:b/>
        </w:rPr>
        <w:t xml:space="preserve">     </w:t>
      </w:r>
      <w:r w:rsidR="003E7F02">
        <w:rPr>
          <w:b/>
        </w:rPr>
        <w:t xml:space="preserve"> -83.431,30</w:t>
      </w:r>
    </w:p>
    <w:p w:rsidR="004F4044" w:rsidRDefault="006242BC" w:rsidP="00964E7C">
      <w:pPr>
        <w:jc w:val="both"/>
        <w:rPr>
          <w:b/>
        </w:rPr>
      </w:pPr>
      <w:r>
        <w:rPr>
          <w:b/>
        </w:rPr>
        <w:t>Višak prihoda iz prethodnog razdoblja</w:t>
      </w:r>
      <w:r>
        <w:rPr>
          <w:b/>
        </w:rPr>
        <w:tab/>
        <w:t>-PRENESENI (20</w:t>
      </w:r>
      <w:r w:rsidR="003E7F02">
        <w:rPr>
          <w:b/>
        </w:rPr>
        <w:t>21</w:t>
      </w:r>
      <w:r>
        <w:rPr>
          <w:b/>
        </w:rPr>
        <w:t>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F02">
        <w:rPr>
          <w:b/>
        </w:rPr>
        <w:t xml:space="preserve">     188.760,35 </w:t>
      </w:r>
    </w:p>
    <w:p w:rsidR="004F4044" w:rsidRDefault="006242BC" w:rsidP="00964E7C">
      <w:pPr>
        <w:jc w:val="both"/>
      </w:pPr>
      <w:r>
        <w:rPr>
          <w:b/>
        </w:rPr>
        <w:t xml:space="preserve">Rezultat poslovanja </w:t>
      </w:r>
      <w:r w:rsidR="00BA5B87">
        <w:rPr>
          <w:b/>
        </w:rPr>
        <w:t>1/12. 202</w:t>
      </w:r>
      <w:r w:rsidR="003E7F02">
        <w:rPr>
          <w:b/>
        </w:rPr>
        <w:t>2</w:t>
      </w:r>
      <w:r w:rsidR="00BA5B87">
        <w:rPr>
          <w:b/>
        </w:rPr>
        <w:t>.</w:t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972B7D">
        <w:rPr>
          <w:b/>
        </w:rPr>
        <w:t xml:space="preserve">    </w:t>
      </w:r>
      <w:r w:rsidR="00BA5B87">
        <w:rPr>
          <w:b/>
        </w:rPr>
        <w:t xml:space="preserve"> </w:t>
      </w:r>
      <w:r w:rsidR="003E7F02">
        <w:rPr>
          <w:b/>
        </w:rPr>
        <w:t>105.329,05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</w:p>
    <w:p w:rsidR="00972B7D" w:rsidRDefault="00B83EA5" w:rsidP="005F5C65">
      <w:pPr>
        <w:jc w:val="both"/>
      </w:pPr>
      <w:r>
        <w:t xml:space="preserve">Ukupni rashodi poslovanja i rashodi za nabavu nefinancijske imovine iznose </w:t>
      </w:r>
      <w:r w:rsidR="00E45761">
        <w:t>11.911.963,64</w:t>
      </w:r>
      <w:r>
        <w:t xml:space="preserve"> kuna., a ukupni prihodi poslovanja iznose </w:t>
      </w:r>
      <w:r w:rsidR="00E45761">
        <w:t>11.828.532,34</w:t>
      </w:r>
      <w:r>
        <w:t xml:space="preserve"> kn. U 202</w:t>
      </w:r>
      <w:r w:rsidR="00E45761">
        <w:t>2</w:t>
      </w:r>
      <w:r>
        <w:t>.g. ostvaren je</w:t>
      </w:r>
      <w:r w:rsidR="00E45761">
        <w:t xml:space="preserve"> manjak prihoda u iznosu od 83.431,30</w:t>
      </w:r>
      <w:r>
        <w:t xml:space="preserve"> kuna, te uz </w:t>
      </w:r>
      <w:r w:rsidR="00E45761">
        <w:t xml:space="preserve">preneseni </w:t>
      </w:r>
      <w:r>
        <w:t xml:space="preserve">višak poslovanja iz prethodne godine u iznosu od </w:t>
      </w:r>
      <w:r w:rsidR="00E45761">
        <w:t>188.760,35</w:t>
      </w:r>
      <w:r>
        <w:t xml:space="preserve"> kun</w:t>
      </w:r>
      <w:r w:rsidR="00E45761">
        <w:t>a</w:t>
      </w:r>
      <w:r>
        <w:t>, u slijedeće obračunsko razdoblje prenosi se višak</w:t>
      </w:r>
      <w:r w:rsidR="005F5C65">
        <w:t xml:space="preserve"> prihoda u iznosu </w:t>
      </w:r>
      <w:r>
        <w:t xml:space="preserve">od </w:t>
      </w:r>
      <w:r w:rsidR="00E45761">
        <w:t>105.329,0</w:t>
      </w:r>
      <w:r w:rsidR="00972B7D">
        <w:t>5 kn</w:t>
      </w:r>
      <w:r w:rsidR="005F5C65">
        <w:t xml:space="preserve">. </w:t>
      </w:r>
    </w:p>
    <w:p w:rsidR="006C09BE" w:rsidRDefault="00E45761" w:rsidP="005F5C65">
      <w:pPr>
        <w:jc w:val="both"/>
      </w:pPr>
      <w:r>
        <w:lastRenderedPageBreak/>
        <w:t>Manjak prihoda u 2022.g. većim dijelom je rezultirao kroz neisplatu tekućih pomoći temeljem prijenosa EU sredstava koje su uslijedile u siječnju 2023. a odnose se na projekt</w:t>
      </w:r>
      <w:r w:rsidRPr="00E45761">
        <w:t xml:space="preserve"> </w:t>
      </w:r>
      <w:r>
        <w:t>Obrazovanje za sve br. UP.02.1.2.06.0001 te metodološkim manjkom.</w:t>
      </w:r>
    </w:p>
    <w:p w:rsidR="00416098" w:rsidRDefault="00A620B4" w:rsidP="005F5C65">
      <w:pPr>
        <w:jc w:val="both"/>
      </w:pPr>
      <w:r>
        <w:t>Značajnije promjene prihoda u odnosu na 2021.godinu su na slijedećim šiframa uz pojašnjenje:</w:t>
      </w:r>
    </w:p>
    <w:p w:rsidR="00416098" w:rsidRDefault="00416098" w:rsidP="005F5C65">
      <w:pPr>
        <w:jc w:val="both"/>
      </w:pPr>
      <w:r>
        <w:t xml:space="preserve">6382 – kapitalne pomoći temeljem prijenosa EU sredstava </w:t>
      </w:r>
    </w:p>
    <w:p w:rsidR="00416098" w:rsidRDefault="00393424" w:rsidP="005F5C65">
      <w:pPr>
        <w:jc w:val="both"/>
      </w:pPr>
      <w:r>
        <w:t>Sredstva su osigurana kroz projekt Obrazovanje za sve čiji je nositelj Grad Beli Manastir a utrošena su za kupovinu nefinancijske imovine koja će se koristiti u okviru Produženog boravka.</w:t>
      </w:r>
    </w:p>
    <w:p w:rsidR="00393424" w:rsidRDefault="00393424" w:rsidP="005F5C65">
      <w:pPr>
        <w:jc w:val="both"/>
      </w:pPr>
      <w:r>
        <w:t>6526 – ostali nespomenuti prihodi</w:t>
      </w:r>
    </w:p>
    <w:p w:rsidR="00393424" w:rsidRDefault="00393424" w:rsidP="005F5C65">
      <w:pPr>
        <w:jc w:val="both"/>
      </w:pPr>
      <w:r>
        <w:t>U odnosu na 2021.godinu porasli su za 89,1 % uslijed ukidanja epidemioloških mjera i odražavanja natjecanja koja su bila sustegnuta u 2021.godini.</w:t>
      </w:r>
    </w:p>
    <w:p w:rsidR="00393424" w:rsidRDefault="00393424" w:rsidP="005F5C65">
      <w:pPr>
        <w:jc w:val="both"/>
      </w:pPr>
      <w:r>
        <w:t>6614 – Prihodi od prodaje pro</w:t>
      </w:r>
      <w:r w:rsidR="00507268">
        <w:t>i</w:t>
      </w:r>
      <w:r>
        <w:t>zvoda</w:t>
      </w:r>
    </w:p>
    <w:p w:rsidR="00393424" w:rsidRDefault="00393424" w:rsidP="005F5C65">
      <w:pPr>
        <w:jc w:val="both"/>
      </w:pPr>
      <w:r>
        <w:t xml:space="preserve">Povećani su višestruko u odnosu na 2021.godinu </w:t>
      </w:r>
      <w:r w:rsidR="00507268">
        <w:t xml:space="preserve">odnosno 746,3 % </w:t>
      </w:r>
      <w:r>
        <w:t>zbog slobodnog odražavanja manifes</w:t>
      </w:r>
      <w:r w:rsidR="00507268">
        <w:t xml:space="preserve">tacija u školi </w:t>
      </w:r>
      <w:r>
        <w:t>pod okriljem školske zadruge Mravci-znalci a to je organizacija izložbi prodajnog karaktera gdje su</w:t>
      </w:r>
      <w:r w:rsidR="00507268">
        <w:t xml:space="preserve"> se</w:t>
      </w:r>
      <w:r>
        <w:t xml:space="preserve"> prikupljale donacije od uradaka Zadruge (Valentinovo, Jesenski sajam, Božićni sajam) koji su zbog virusa Covid </w:t>
      </w:r>
      <w:r w:rsidR="00D91839">
        <w:t xml:space="preserve">19 </w:t>
      </w:r>
      <w:r>
        <w:t>bili ograničeni ili izuzeti u 2021.godini.</w:t>
      </w:r>
    </w:p>
    <w:p w:rsidR="00507268" w:rsidRDefault="00507268" w:rsidP="005F5C65">
      <w:pPr>
        <w:jc w:val="both"/>
      </w:pPr>
      <w:r>
        <w:t xml:space="preserve">6615 – Prihodi od pruženih usluga </w:t>
      </w:r>
    </w:p>
    <w:p w:rsidR="00507268" w:rsidRDefault="00507268" w:rsidP="005F5C65">
      <w:pPr>
        <w:jc w:val="both"/>
      </w:pPr>
      <w:r>
        <w:t>Ovi prihodi su smanjeni u odnosu na 2021.godinu u posto</w:t>
      </w:r>
      <w:r w:rsidR="00D54C09">
        <w:t>t</w:t>
      </w:r>
      <w:r>
        <w:t>ku 33,4% zbog naplate najma krova za solarne ćelije koji je duplo naplaćen u 2021.godini od strane kupca Moje sunce d.o.o.</w:t>
      </w:r>
    </w:p>
    <w:p w:rsidR="00354C59" w:rsidRDefault="00354C59" w:rsidP="005F5C65">
      <w:pPr>
        <w:jc w:val="both"/>
      </w:pPr>
      <w:r>
        <w:t>6712- Prihodi iz nadležnog proračuna za finan.rashoda za nabavu nefinancijske imovine</w:t>
      </w:r>
    </w:p>
    <w:p w:rsidR="00354C59" w:rsidRDefault="00354C59" w:rsidP="005F5C65">
      <w:pPr>
        <w:jc w:val="both"/>
      </w:pPr>
      <w:r>
        <w:t>Prihodi su manje za 66,4 % u odnosu na 2021.godinu,a odnose se na financiranje školske lektire.</w:t>
      </w:r>
    </w:p>
    <w:p w:rsidR="00354C59" w:rsidRDefault="00354C59" w:rsidP="005F5C65">
      <w:pPr>
        <w:jc w:val="both"/>
      </w:pPr>
      <w:r>
        <w:t>683 – Ostali prihodi</w:t>
      </w:r>
    </w:p>
    <w:p w:rsidR="00354C59" w:rsidRDefault="00354C59" w:rsidP="005F5C65">
      <w:pPr>
        <w:jc w:val="both"/>
      </w:pPr>
      <w:r>
        <w:t xml:space="preserve">U odnosu na 2021. godinu, u 2022. nije bilo izlaznih računa prema roditeljima učenika za izgubljene udžbenike i popravak tableta </w:t>
      </w:r>
    </w:p>
    <w:p w:rsidR="00354C59" w:rsidRDefault="00354C59" w:rsidP="005F5C65">
      <w:pPr>
        <w:jc w:val="both"/>
      </w:pPr>
      <w:r>
        <w:t>Značajnije promjene rashoda u odnosu na 2021. godinu su na slijedećim šiframa uz pojašnjenje:</w:t>
      </w:r>
    </w:p>
    <w:p w:rsidR="00354C59" w:rsidRDefault="006B2125" w:rsidP="005F5C65">
      <w:pPr>
        <w:jc w:val="both"/>
      </w:pPr>
      <w:r>
        <w:t>321 – Naknada troškova zaposlenima</w:t>
      </w:r>
    </w:p>
    <w:p w:rsidR="006B2125" w:rsidRDefault="006B2125" w:rsidP="005F5C65">
      <w:pPr>
        <w:jc w:val="both"/>
      </w:pPr>
      <w:r>
        <w:t>Povećanje od 41,6 % odnosi se na veći broj službenih putovanja zbog stručnih usavršavanja, stručnih ispita, izleta učenika i natjecanja kao i ostalih službenih putovanja koje je uslijedilo normalizacijom rada u odnosu na prethodnu godinu gdje je još uvijek bilo ustega zbog pandemije Covid 19</w:t>
      </w:r>
    </w:p>
    <w:p w:rsidR="006B2125" w:rsidRDefault="006B2125" w:rsidP="005F5C65">
      <w:pPr>
        <w:jc w:val="both"/>
      </w:pPr>
      <w:r>
        <w:t xml:space="preserve">322 – Rashodi za materijal i energiju </w:t>
      </w:r>
    </w:p>
    <w:p w:rsidR="006B2125" w:rsidRDefault="006B2125" w:rsidP="005F5C65">
      <w:pPr>
        <w:jc w:val="both"/>
      </w:pPr>
      <w:r>
        <w:t>Povećani su za 20,1</w:t>
      </w:r>
      <w:r w:rsidR="003242B4">
        <w:t xml:space="preserve">% u odnosu na 2021. godinu, a najviše se odnose na materijal i sirovine obzirom da </w:t>
      </w:r>
      <w:r w:rsidR="00AD2015">
        <w:t>se nastava u školi redovno odvijala u odnosu na 2021. kada je bila djelomično n-line i zbog sveprisutne inflacije  a sma</w:t>
      </w:r>
      <w:r w:rsidR="003242B4">
        <w:t>njenje troškova očitovalo se u materijalu i dijelovima za tekuće i investicijsko održavanje</w:t>
      </w:r>
    </w:p>
    <w:p w:rsidR="003242B4" w:rsidRDefault="003242B4" w:rsidP="005F5C65">
      <w:pPr>
        <w:jc w:val="both"/>
      </w:pPr>
      <w:r>
        <w:t>323 – Rashodi za usluge</w:t>
      </w:r>
    </w:p>
    <w:p w:rsidR="003242B4" w:rsidRDefault="003242B4" w:rsidP="005F5C65">
      <w:pPr>
        <w:jc w:val="both"/>
      </w:pPr>
      <w:r>
        <w:t xml:space="preserve">Smanjeni su za 14,3% u odnosu na prethodnu godinu, a značajnije smanjenje se odnosi na </w:t>
      </w:r>
      <w:r w:rsidR="001451B9">
        <w:t>intelektualne i osobne usluge koje su u 2021. godini veće za 71,1 % zbog troškova izrade troškovnika za rekonstrukciju kotlovnice te smanjene ostale usluge za 93%</w:t>
      </w:r>
    </w:p>
    <w:p w:rsidR="001451B9" w:rsidRDefault="001451B9" w:rsidP="005F5C65">
      <w:pPr>
        <w:jc w:val="both"/>
      </w:pPr>
      <w:r>
        <w:lastRenderedPageBreak/>
        <w:t>329 – Ostali nespomenuti rashodi poslovanja</w:t>
      </w:r>
    </w:p>
    <w:p w:rsidR="001451B9" w:rsidRDefault="001451B9" w:rsidP="005F5C65">
      <w:pPr>
        <w:jc w:val="both"/>
      </w:pPr>
      <w:r>
        <w:t>Povećani su za 41% pri čemu se značajnije povećanje od 51,7% odnosi na novčanu naknadu poslodavca zbog nezapošljavanja osoba sa invaliditetom te ostale nespomenute rashode</w:t>
      </w:r>
      <w:r w:rsidR="00811CE1">
        <w:t xml:space="preserve"> od 29,8%</w:t>
      </w:r>
    </w:p>
    <w:p w:rsidR="001451B9" w:rsidRDefault="00811CE1" w:rsidP="005F5C65">
      <w:pPr>
        <w:jc w:val="both"/>
      </w:pPr>
      <w:r>
        <w:t>Kamate u iznosu 15,57 odnose se na korekciju obračuna plaća odnosno uplatu poreza i doprinosa</w:t>
      </w:r>
    </w:p>
    <w:p w:rsidR="00811CE1" w:rsidRDefault="00811CE1" w:rsidP="005F5C65">
      <w:pPr>
        <w:jc w:val="both"/>
      </w:pPr>
      <w:r>
        <w:t xml:space="preserve">366 – Tekuće pomoći proračunskih korisnicima drugih proračuna </w:t>
      </w:r>
    </w:p>
    <w:p w:rsidR="00811CE1" w:rsidRDefault="00811CE1" w:rsidP="005F5C65">
      <w:pPr>
        <w:jc w:val="both"/>
      </w:pPr>
      <w:r>
        <w:t>U odnosu na prethodnu godinu u 2022. su refundirana sredstva za županijsko natjecanje Futsal u iznosu 740,00 kn</w:t>
      </w:r>
    </w:p>
    <w:p w:rsidR="00811CE1" w:rsidRDefault="00811CE1" w:rsidP="005F5C65">
      <w:pPr>
        <w:jc w:val="both"/>
      </w:pPr>
      <w:r>
        <w:t>372 – Naknade građanima i kućanstvima</w:t>
      </w:r>
    </w:p>
    <w:p w:rsidR="00811CE1" w:rsidRDefault="00811CE1" w:rsidP="005F5C65">
      <w:pPr>
        <w:jc w:val="both"/>
      </w:pPr>
      <w:r>
        <w:t>Ovi rashodi su smanjeni za 93% jer nije bilo troškova vezanih za pandemiju Covid 19 u odnosu na 2021. godinu</w:t>
      </w:r>
      <w:r w:rsidR="00AD2015">
        <w:t xml:space="preserve"> odnosno nabavke maski za lice</w:t>
      </w:r>
    </w:p>
    <w:p w:rsidR="008C736F" w:rsidRDefault="008C736F" w:rsidP="005F5C65">
      <w:pPr>
        <w:jc w:val="both"/>
      </w:pPr>
      <w:r>
        <w:t>Z005 – ukupni rashodi veći su za 6,5% u odnosu na 2021. godinu</w:t>
      </w:r>
    </w:p>
    <w:p w:rsidR="008C736F" w:rsidRDefault="008C736F" w:rsidP="005F5C65">
      <w:pPr>
        <w:jc w:val="both"/>
      </w:pPr>
      <w:r>
        <w:t xml:space="preserve"> 92211 – Višak </w:t>
      </w:r>
      <w:r w:rsidR="0020451B">
        <w:t xml:space="preserve">prihoda </w:t>
      </w:r>
      <w:r w:rsidR="006268C5">
        <w:t xml:space="preserve">poslovanja </w:t>
      </w:r>
      <w:r w:rsidR="0020451B">
        <w:t xml:space="preserve">- </w:t>
      </w:r>
      <w:r w:rsidR="006268C5">
        <w:t xml:space="preserve">preneseni u iznosu od 334.831,82 kn </w:t>
      </w:r>
      <w:r>
        <w:t xml:space="preserve"> rezultat je metodološkog manjka </w:t>
      </w:r>
      <w:r w:rsidR="0020451B">
        <w:t xml:space="preserve">odnosno ostvarenih prihoda u siječnju 2022. za račune iz 2021. godine </w:t>
      </w:r>
      <w:r w:rsidR="006268C5">
        <w:t>kao i vlastitih troškova koji su se korigirali za kapitalne investicije</w:t>
      </w:r>
    </w:p>
    <w:p w:rsidR="006268C5" w:rsidRDefault="006268C5" w:rsidP="005F5C65">
      <w:pPr>
        <w:jc w:val="both"/>
      </w:pPr>
      <w:r>
        <w:t>422 – Postrojenja i oprema</w:t>
      </w:r>
    </w:p>
    <w:p w:rsidR="006268C5" w:rsidRDefault="006268C5" w:rsidP="005F5C65">
      <w:pPr>
        <w:jc w:val="both"/>
      </w:pPr>
      <w:r>
        <w:t>Povećanje od 19,3% u od</w:t>
      </w:r>
      <w:r w:rsidR="0037261C">
        <w:t>nosu na prethodnu godinu značajni</w:t>
      </w:r>
      <w:r>
        <w:t>je se očituje kroz kapitalne investicije na računu 4227 –uređaji, stroje</w:t>
      </w:r>
      <w:r w:rsidR="0005399E">
        <w:t>v</w:t>
      </w:r>
      <w:r>
        <w:t>i i oprema za ostale namjene o</w:t>
      </w:r>
      <w:r w:rsidR="0005399E">
        <w:t>d 460% iz vlastitih izvora</w:t>
      </w:r>
      <w:r>
        <w:t xml:space="preserve"> te smanjenje ulaganja u sportsku i glazbenu oprem</w:t>
      </w:r>
      <w:r w:rsidR="0005399E">
        <w:t xml:space="preserve">u za 42,9% i uredsku opremu za </w:t>
      </w:r>
      <w:r>
        <w:t>93,8%</w:t>
      </w:r>
    </w:p>
    <w:p w:rsidR="0005399E" w:rsidRDefault="0005399E" w:rsidP="005F5C65">
      <w:pPr>
        <w:jc w:val="both"/>
      </w:pPr>
      <w:r>
        <w:t>424 – knjige, umjetnička djela i ostale izložbene vrijednosti</w:t>
      </w:r>
    </w:p>
    <w:p w:rsidR="0005399E" w:rsidRDefault="0005399E" w:rsidP="005F5C65">
      <w:pPr>
        <w:jc w:val="both"/>
      </w:pPr>
      <w:r>
        <w:t>Rashodi su veći za 5,8% u odnosu na 2021. godinu zbog inflatornih poremećaja na tržištu</w:t>
      </w:r>
    </w:p>
    <w:p w:rsidR="00402CDC" w:rsidRDefault="0005399E" w:rsidP="005F5C65">
      <w:pPr>
        <w:jc w:val="both"/>
      </w:pPr>
      <w:r>
        <w:t>Y002 – Manjak od nefinancijske imovine</w:t>
      </w:r>
    </w:p>
    <w:p w:rsidR="0005399E" w:rsidRDefault="00402CDC" w:rsidP="005F5C65">
      <w:pPr>
        <w:jc w:val="both"/>
      </w:pPr>
      <w:r>
        <w:t xml:space="preserve">U odnosu na 2021. veći je za 8,4% u odnosu na prethodnu godinu zbog većih ulaganja u kapitalne investicije iz vlastitih sredstava </w:t>
      </w:r>
      <w:r w:rsidR="0005399E">
        <w:t xml:space="preserve"> </w:t>
      </w:r>
      <w:r>
        <w:t xml:space="preserve">iz viška 2021.godine raspoređenog prema Odluci o raspodjeli viška </w:t>
      </w:r>
      <w:r w:rsidR="0020451B">
        <w:t xml:space="preserve">prihoda </w:t>
      </w:r>
      <w:r>
        <w:t>poslovanja</w:t>
      </w:r>
    </w:p>
    <w:p w:rsidR="00402CDC" w:rsidRDefault="00402CDC" w:rsidP="005F5C65">
      <w:pPr>
        <w:jc w:val="both"/>
      </w:pPr>
      <w:r>
        <w:t>92222 – manjak prihoda od nefinancijske imovine -  preneseni iznosi 146.071,47</w:t>
      </w:r>
    </w:p>
    <w:p w:rsidR="00402CDC" w:rsidRDefault="00402CDC" w:rsidP="005F5C65">
      <w:pPr>
        <w:jc w:val="both"/>
      </w:pPr>
      <w:r>
        <w:t xml:space="preserve">Preneseni višak iznosi 188.760,35  te je raspoređen  </w:t>
      </w:r>
      <w:r w:rsidR="0020451B">
        <w:t>prema Odluci o raspodjeli viška prihoda poslovanja prema Finan.planu za 2022. na troškove iz vlastitih izvora te će pokriti metodološki manjak i manjak vlastitih prihoda</w:t>
      </w:r>
    </w:p>
    <w:p w:rsidR="0020451B" w:rsidRDefault="0020451B" w:rsidP="005F5C65">
      <w:pPr>
        <w:jc w:val="both"/>
      </w:pPr>
      <w:r>
        <w:t xml:space="preserve">X006 – Ostvareni višak prihoda i primitaka raspoloživ u sljedećem razdoblju iznosi 105.329,05 što je 44,2% manje u odnosu na prethodnu godinu </w:t>
      </w:r>
    </w:p>
    <w:p w:rsidR="00B76DCC" w:rsidRDefault="00B76DCC" w:rsidP="005F5C65">
      <w:pPr>
        <w:jc w:val="both"/>
      </w:pPr>
      <w:r>
        <w:t xml:space="preserve">65264 – Sufinanciranje </w:t>
      </w:r>
      <w:r w:rsidR="00D54C09">
        <w:t>cijene usl</w:t>
      </w:r>
      <w:r>
        <w:t>uge, participacije i slično</w:t>
      </w:r>
    </w:p>
    <w:p w:rsidR="00722759" w:rsidRDefault="00B76DCC" w:rsidP="005F5C65">
      <w:pPr>
        <w:jc w:val="both"/>
      </w:pPr>
      <w:r>
        <w:t>Rashodi su povećani za 76,6% zbog povećanog broja djece u Produženom boravku</w:t>
      </w:r>
    </w:p>
    <w:p w:rsidR="00722759" w:rsidRDefault="00722759" w:rsidP="005F5C65">
      <w:pPr>
        <w:jc w:val="both"/>
      </w:pPr>
      <w:r>
        <w:t>3215 – Naknada za bolest, invalidnost i smrtni slučaj</w:t>
      </w:r>
    </w:p>
    <w:p w:rsidR="00722759" w:rsidRDefault="00722759" w:rsidP="005F5C65">
      <w:pPr>
        <w:jc w:val="both"/>
      </w:pPr>
      <w:r>
        <w:t>Značajnije je smanjenje naknada za bolovanje duže od 90 dana u odnosu na 2021.godinu</w:t>
      </w:r>
    </w:p>
    <w:p w:rsidR="00722759" w:rsidRDefault="00722759" w:rsidP="005F5C65">
      <w:pPr>
        <w:jc w:val="both"/>
      </w:pPr>
    </w:p>
    <w:p w:rsidR="00B76DCC" w:rsidRDefault="00B76DCC" w:rsidP="005F5C65">
      <w:pPr>
        <w:jc w:val="both"/>
      </w:pPr>
      <w:r>
        <w:lastRenderedPageBreak/>
        <w:t>32121 – Naknade za prijevoz na posao i s posla</w:t>
      </w:r>
    </w:p>
    <w:p w:rsidR="00B76DCC" w:rsidRDefault="00B76DCC" w:rsidP="005F5C65">
      <w:pPr>
        <w:jc w:val="both"/>
      </w:pPr>
      <w:r>
        <w:t>Značajnije je povećanje u odnosu na prethodnu godinu od 34,6% zbog povećanog broja dužih zamjena odnosno novih zapošljavanja djelatnika koji putuju na dužim relacija ( Osijek i dalje) te veći</w:t>
      </w:r>
      <w:r w:rsidR="00722759">
        <w:t>h</w:t>
      </w:r>
      <w:r>
        <w:t xml:space="preserve"> troškova naknade prijevoza po kilometru </w:t>
      </w:r>
    </w:p>
    <w:p w:rsidR="00A620B4" w:rsidRDefault="00A620B4" w:rsidP="005F5C65">
      <w:pPr>
        <w:jc w:val="both"/>
      </w:pPr>
    </w:p>
    <w:p w:rsidR="00035223" w:rsidRDefault="00C415FB" w:rsidP="00C415FB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>BILJEŠKE UZ OBRAZAC BILANCA</w:t>
      </w:r>
    </w:p>
    <w:p w:rsidR="009B5ACA" w:rsidRPr="009B5ACA" w:rsidRDefault="009B5ACA" w:rsidP="009B5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Vrijednost imovine u odnosu na prethodnu godinu nije se značajnije mijenjala, smanjila se </w:t>
      </w:r>
      <w:r w:rsidR="00CB1B2C">
        <w:rPr>
          <w:sz w:val="24"/>
          <w:szCs w:val="24"/>
        </w:rPr>
        <w:t xml:space="preserve">za 0,04% </w:t>
      </w:r>
      <w:r>
        <w:rPr>
          <w:sz w:val="24"/>
          <w:szCs w:val="24"/>
        </w:rPr>
        <w:t xml:space="preserve">obzirom da je u ukupnom iznosu veći Ispravak vrijednosti osnovnih sredstava nego što je </w:t>
      </w:r>
      <w:r w:rsidR="009B4ADF">
        <w:rPr>
          <w:sz w:val="24"/>
          <w:szCs w:val="24"/>
        </w:rPr>
        <w:t>njezino povećanje ( IVOS – 439.326,49 , nabava n</w:t>
      </w:r>
      <w:r w:rsidR="00B742B7">
        <w:rPr>
          <w:sz w:val="24"/>
          <w:szCs w:val="24"/>
        </w:rPr>
        <w:t>efinancijske imovine – 294.950,54</w:t>
      </w:r>
      <w:r w:rsidR="009B4ADF">
        <w:rPr>
          <w:sz w:val="24"/>
          <w:szCs w:val="24"/>
        </w:rPr>
        <w:t>)</w:t>
      </w:r>
      <w:r w:rsidR="00CB1B2C">
        <w:rPr>
          <w:sz w:val="24"/>
          <w:szCs w:val="24"/>
        </w:rPr>
        <w:t>,no financijska se imovina u odnosu na 2021. povećala za 80.366,42.</w:t>
      </w:r>
    </w:p>
    <w:p w:rsidR="00D2624E" w:rsidRDefault="00D2624E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022- Postrojenja i oprema</w:t>
      </w:r>
      <w:bookmarkStart w:id="0" w:name="_GoBack"/>
      <w:bookmarkEnd w:id="0"/>
    </w:p>
    <w:p w:rsidR="00D2624E" w:rsidRDefault="00D2624E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Značajnija kapitalna ulaganja bila su iz vlastitih izvora za kupovinu klima uređaja te </w:t>
      </w:r>
      <w:r w:rsidR="009B5ACA">
        <w:rPr>
          <w:sz w:val="24"/>
          <w:szCs w:val="24"/>
        </w:rPr>
        <w:t>fenomata za ruke čime se planira ušteda na troškovima za higijenske potrepštine.</w:t>
      </w:r>
    </w:p>
    <w:p w:rsidR="00CB1B2C" w:rsidRDefault="00CB1B2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02924-Ispravak vrijednosti knjiga</w:t>
      </w:r>
    </w:p>
    <w:p w:rsidR="00CB1B2C" w:rsidRDefault="00CB1B2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Odnosi se na Ispravak vrijednosti knjiga udžbenika i lektire nabavljenih u 2022.godini po godišnjoj stopi otpisa 20%</w:t>
      </w:r>
    </w:p>
    <w:p w:rsidR="00CB1B2C" w:rsidRDefault="00CB1B2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129 – Ostala potraživanja</w:t>
      </w:r>
    </w:p>
    <w:p w:rsidR="00CB1B2C" w:rsidRDefault="00CB1B2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Povećana su u odnosu na prethodnu godinu za 31,3% </w:t>
      </w:r>
      <w:r w:rsidR="00522B22">
        <w:rPr>
          <w:sz w:val="24"/>
          <w:szCs w:val="24"/>
        </w:rPr>
        <w:t>zbog realiziranih bolovanja na teret HZZO-a a istodobno su kroz godinu refundirana bolovanja od strane HZZO-a 23.309,21 i time smanjene obveze za povrat u državni proračun na računu 23958</w:t>
      </w:r>
    </w:p>
    <w:p w:rsidR="00522B22" w:rsidRDefault="00522B22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16 – Potraživanja za prihode poslovanja</w:t>
      </w:r>
    </w:p>
    <w:p w:rsidR="00522B22" w:rsidRDefault="00522B22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Povećana su potraživanja od kupaca za uslugu produženog boravka za 47,3% , a smanjena su potraživanja za najam šk.stana 11,9% dok su potraživanja za sredstva uplaćena u nadležni proračun smanjena za 25,8% zbog utrošenih sredstava iz vlastitih izvora </w:t>
      </w:r>
      <w:r w:rsidR="00847DFC">
        <w:rPr>
          <w:sz w:val="24"/>
          <w:szCs w:val="24"/>
        </w:rPr>
        <w:t>i neisplate troškova u produženom boravku od strane Grada Belog Manastira koji je nositelj EU projekta Obrazovanje za sve.</w:t>
      </w:r>
    </w:p>
    <w:p w:rsidR="00847DFC" w:rsidRDefault="00847DF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169 – Ispravak vrijednosti potraživanja odnosi se na nenaplaćeno potraživanje za popravak tableta koje se starije od 1 godine</w:t>
      </w:r>
    </w:p>
    <w:p w:rsidR="00847DFC" w:rsidRDefault="00847DFC" w:rsidP="00705A09">
      <w:pPr>
        <w:jc w:val="both"/>
        <w:rPr>
          <w:sz w:val="24"/>
          <w:szCs w:val="24"/>
        </w:rPr>
      </w:pPr>
      <w:r>
        <w:rPr>
          <w:sz w:val="24"/>
          <w:szCs w:val="24"/>
        </w:rPr>
        <w:t>193 – Kontinuirani rashodi budućih razdoblja odnose se na neisplaćenu nedospjelu plaću za 12/2022.</w:t>
      </w:r>
    </w:p>
    <w:p w:rsidR="0074641D" w:rsidRDefault="00E6413C" w:rsidP="00705A09">
      <w:pPr>
        <w:jc w:val="both"/>
      </w:pPr>
      <w:r>
        <w:t xml:space="preserve">Nepodmirene obveze na </w:t>
      </w:r>
      <w:r w:rsidR="00847DFC">
        <w:t>dan 31.12.202</w:t>
      </w:r>
      <w:r w:rsidR="005F06E5">
        <w:t>2. iznose 1.142772,85</w:t>
      </w:r>
      <w:r>
        <w:t xml:space="preserve"> kuna i odnose se na </w:t>
      </w:r>
      <w:r w:rsidR="00E90B37">
        <w:t xml:space="preserve">nedospjele obveze za </w:t>
      </w:r>
      <w:r w:rsidR="005F06E5">
        <w:t>plaću za prosinac 2022</w:t>
      </w:r>
      <w:r>
        <w:t>.godine, obve</w:t>
      </w:r>
      <w:r w:rsidR="005F06E5">
        <w:t xml:space="preserve">ze za materijalne </w:t>
      </w:r>
      <w:r>
        <w:t>rashode, tekuće obveze i za nabavu nefinancijske imovine.</w:t>
      </w:r>
    </w:p>
    <w:p w:rsidR="00294FEA" w:rsidRDefault="00E6413C" w:rsidP="00705A09">
      <w:pPr>
        <w:jc w:val="both"/>
      </w:pPr>
      <w:r>
        <w:t>Sve obveze se podmiruju</w:t>
      </w:r>
      <w:r w:rsidR="005F06E5">
        <w:t xml:space="preserve"> u tijeku siječnja 2023</w:t>
      </w:r>
      <w:r>
        <w:t>. godine.</w:t>
      </w:r>
    </w:p>
    <w:p w:rsidR="005F06E5" w:rsidRDefault="005F06E5" w:rsidP="00705A09">
      <w:pPr>
        <w:jc w:val="both"/>
      </w:pPr>
      <w:r>
        <w:t>922 - Višak prihod poslovanja nakon korekcije za kapitalne investicije u iznosi 238.012,07 kn iznose 105.329,05kn što je za 44,2% manje nego prethodne godine.</w:t>
      </w:r>
    </w:p>
    <w:p w:rsidR="00294FEA" w:rsidRPr="00105C7A" w:rsidRDefault="00294FEA" w:rsidP="00294FE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lastRenderedPageBreak/>
        <w:t>BILJEŠKE UZ OBRAZAC RAS – FUNKCIJSKI</w:t>
      </w:r>
    </w:p>
    <w:p w:rsidR="00294FEA" w:rsidRDefault="00294FEA" w:rsidP="00294FEA">
      <w:pPr>
        <w:jc w:val="both"/>
      </w:pPr>
      <w:r w:rsidRPr="00294FEA">
        <w:t xml:space="preserve">Izvještaj o rashodima </w:t>
      </w:r>
      <w:r>
        <w:t>p</w:t>
      </w:r>
      <w:r w:rsidRPr="00294FEA">
        <w:t xml:space="preserve">rema funkcijskoj klasifikaciji odnosi se na </w:t>
      </w:r>
      <w:r>
        <w:t>funkciju 09 – obrazovanje.</w:t>
      </w:r>
    </w:p>
    <w:p w:rsidR="00294FEA" w:rsidRDefault="00294FEA" w:rsidP="00294FEA">
      <w:pPr>
        <w:jc w:val="both"/>
      </w:pPr>
      <w:r>
        <w:t>Rashodi su klasificirani prema rashodima poslovanja razreda 3  i prema rashodima za nabavu nefinancijske imovine, razreda 4.</w:t>
      </w:r>
    </w:p>
    <w:p w:rsidR="00EF5C6E" w:rsidRDefault="005F06E5" w:rsidP="00294FEA">
      <w:pPr>
        <w:jc w:val="both"/>
      </w:pPr>
      <w:r>
        <w:t>0912</w:t>
      </w:r>
      <w:r w:rsidR="00EF5C6E">
        <w:t xml:space="preserve"> – uključeni svi rashodi vezani za funkcioniranje os</w:t>
      </w:r>
      <w:r>
        <w:t>novnoškolskog obrazovan</w:t>
      </w:r>
      <w:r w:rsidR="00F66800">
        <w:t>ja u 2022. godini, što je za 5,1</w:t>
      </w:r>
      <w:r>
        <w:t>% više nego u 2021</w:t>
      </w:r>
      <w:r w:rsidR="00310B33">
        <w:t xml:space="preserve">.godini zbog povećanih troškova redovitog održavanja nastave i </w:t>
      </w:r>
      <w:r>
        <w:t>porasta osnovice za obračun bruto plaća zaposlenika</w:t>
      </w:r>
    </w:p>
    <w:p w:rsidR="0073791D" w:rsidRDefault="005F06E5" w:rsidP="00294FEA">
      <w:pPr>
        <w:jc w:val="both"/>
      </w:pPr>
      <w:r>
        <w:t>096 – svi rashodi vezani za nabavu namirnica</w:t>
      </w:r>
      <w:r w:rsidR="00310B33">
        <w:t xml:space="preserve"> u sklopu projekta Školski obrok za sve i Vrijeme je  za školski obrok (koji više nije na snazi u šk. 2022/2023) te Školske sheme i toplih obroka u produženom boravku</w:t>
      </w:r>
      <w:r w:rsidR="00EF5C6E">
        <w:t xml:space="preserve"> u tijeku</w:t>
      </w:r>
      <w:r>
        <w:t xml:space="preserve"> 2022</w:t>
      </w:r>
      <w:r w:rsidR="0073791D">
        <w:t xml:space="preserve">.godine </w:t>
      </w:r>
      <w:r w:rsidR="00310B33">
        <w:t>što je 44,5% više nego u 2021.godini zbog općeg porasta razine cijena i redovitog održavanja nastave</w:t>
      </w:r>
    </w:p>
    <w:p w:rsidR="00310B33" w:rsidRDefault="0073791D" w:rsidP="0073791D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0B33">
        <w:rPr>
          <w:b/>
          <w:sz w:val="24"/>
          <w:szCs w:val="24"/>
        </w:rPr>
        <w:t>BILJEŠKE UZ OBRAZAC P- VRIO</w:t>
      </w:r>
    </w:p>
    <w:p w:rsidR="00310B33" w:rsidRPr="00310B33" w:rsidRDefault="00310B33" w:rsidP="00310B33">
      <w:pPr>
        <w:jc w:val="both"/>
        <w:rPr>
          <w:sz w:val="24"/>
          <w:szCs w:val="24"/>
        </w:rPr>
      </w:pPr>
      <w:r>
        <w:rPr>
          <w:sz w:val="24"/>
          <w:szCs w:val="24"/>
        </w:rPr>
        <w:t>U 2022.godini Škola nije imala promjena u vrijednosti i obujmu imovine, te je obrazac ostao neispunjen.</w:t>
      </w:r>
    </w:p>
    <w:p w:rsidR="0073791D" w:rsidRPr="00310B33" w:rsidRDefault="0073791D" w:rsidP="0073791D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0B33">
        <w:rPr>
          <w:b/>
          <w:sz w:val="24"/>
          <w:szCs w:val="24"/>
        </w:rPr>
        <w:t xml:space="preserve">BILJEŠKE UZ OBRAZAC </w:t>
      </w:r>
      <w:r w:rsidR="0094628A" w:rsidRPr="00310B33">
        <w:rPr>
          <w:b/>
          <w:sz w:val="24"/>
          <w:szCs w:val="24"/>
        </w:rPr>
        <w:t>–</w:t>
      </w:r>
      <w:r w:rsidRPr="00310B33">
        <w:rPr>
          <w:b/>
          <w:sz w:val="24"/>
          <w:szCs w:val="24"/>
        </w:rPr>
        <w:t xml:space="preserve"> OBVEZE</w:t>
      </w:r>
    </w:p>
    <w:p w:rsidR="0094628A" w:rsidRDefault="00CD6DD5" w:rsidP="0094628A">
      <w:pPr>
        <w:jc w:val="both"/>
      </w:pPr>
      <w:r>
        <w:t>ND 23 – obveze na dan 31.12.2022.g. iznose 1.142.622,76</w:t>
      </w:r>
      <w:r w:rsidR="0094628A" w:rsidRPr="00032F7E">
        <w:t xml:space="preserve"> kuna</w:t>
      </w:r>
      <w:r w:rsidR="00032F7E" w:rsidRPr="00032F7E">
        <w:t xml:space="preserve"> i</w:t>
      </w:r>
      <w:r w:rsidR="0094628A" w:rsidRPr="00032F7E">
        <w:t xml:space="preserve"> odnose se na obvezu isplate plaće prema zapo</w:t>
      </w:r>
      <w:r>
        <w:t>slenima za mjesec prosinac, 2022.g. i materijalne rashode</w:t>
      </w:r>
      <w:r w:rsidR="00032F7E" w:rsidRPr="00032F7E">
        <w:t xml:space="preserve"> koje smo knjižili na računu 3 i o</w:t>
      </w:r>
      <w:r>
        <w:t>bvezom plaćanja u siječnju, 2022</w:t>
      </w:r>
      <w:r w:rsidR="00032F7E" w:rsidRPr="00032F7E">
        <w:t>.godine, te obveze za povrat u proračun</w:t>
      </w:r>
    </w:p>
    <w:p w:rsidR="00105C7A" w:rsidRDefault="00105C7A" w:rsidP="0094628A">
      <w:pPr>
        <w:jc w:val="both"/>
      </w:pPr>
    </w:p>
    <w:p w:rsidR="00032F7E" w:rsidRDefault="00032F7E" w:rsidP="0094628A">
      <w:pPr>
        <w:jc w:val="both"/>
      </w:pPr>
      <w:r>
        <w:t>Izdvajamo:</w:t>
      </w:r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>O.Š. Dr. Franjo Tuđman nema ugovornih odnosa koji uz ispunjenje određenih uvjeta mogu postati obveza ili imovina,</w:t>
      </w:r>
      <w:r w:rsidR="0037261C">
        <w:t xml:space="preserve"> osim izdavanje bianco zadužnice dobavljaču motornih goriva INA d.d. Zagreb za potrebe nabave motornih goriva za ručnu i traktorsku kosilicu za košnju trave</w:t>
      </w:r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>O.Š. Dr. Franjo Tuđman nema sudskih sporova u tijeku</w:t>
      </w:r>
    </w:p>
    <w:p w:rsidR="006A10A6" w:rsidRDefault="006A10A6" w:rsidP="006A10A6">
      <w:pPr>
        <w:jc w:val="both"/>
      </w:pPr>
      <w:r>
        <w:t>Oso</w:t>
      </w:r>
      <w:r w:rsidR="00CD6DD5">
        <w:t>ba za kontakt: Tihana Maletić, voditelj računovodstva 031/703-78</w:t>
      </w:r>
      <w:r>
        <w:t>2</w:t>
      </w:r>
    </w:p>
    <w:p w:rsidR="00105C7A" w:rsidRDefault="00105C7A" w:rsidP="00105C7A">
      <w:pPr>
        <w:jc w:val="both"/>
      </w:pPr>
    </w:p>
    <w:p w:rsidR="00EC3602" w:rsidRDefault="00CD6DD5" w:rsidP="00190716">
      <w:pPr>
        <w:jc w:val="both"/>
      </w:pPr>
      <w:r>
        <w:t>U Belom Manastiru, 30. siječnja, 2023</w:t>
      </w:r>
      <w:r w:rsidR="00105C7A">
        <w:t>. godine</w:t>
      </w:r>
      <w:r w:rsidR="00190716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560705</wp:posOffset>
            </wp:positionV>
            <wp:extent cx="2166620" cy="1146175"/>
            <wp:effectExtent l="0" t="0" r="5080" b="0"/>
            <wp:wrapNone/>
            <wp:docPr id="27088" name="Picture 27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8" name="Picture 270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602" w:rsidRPr="00EC3602" w:rsidRDefault="00EC3602" w:rsidP="00EC3602"/>
    <w:p w:rsidR="00EC3602" w:rsidRPr="00EC3602" w:rsidRDefault="00EC3602" w:rsidP="00EC3602"/>
    <w:p w:rsidR="00EC3602" w:rsidRPr="00EC3602" w:rsidRDefault="00EC3602" w:rsidP="00EC3602"/>
    <w:p w:rsidR="00EC3602" w:rsidRPr="00EC3602" w:rsidRDefault="00EC3602" w:rsidP="00EC3602"/>
    <w:p w:rsidR="00EC3602" w:rsidRPr="00EC3602" w:rsidRDefault="00EC3602" w:rsidP="00EC3602"/>
    <w:p w:rsidR="00EC3602" w:rsidRDefault="00EC3602" w:rsidP="00EC3602"/>
    <w:p w:rsidR="00573731" w:rsidRDefault="00EC3602" w:rsidP="00EC3602">
      <w:pPr>
        <w:tabs>
          <w:tab w:val="left" w:pos="1860"/>
        </w:tabs>
      </w:pPr>
      <w:r>
        <w:tab/>
      </w:r>
    </w:p>
    <w:p w:rsidR="00EC3602" w:rsidRDefault="00EC3602" w:rsidP="00EC3602">
      <w:pPr>
        <w:tabs>
          <w:tab w:val="left" w:pos="1860"/>
        </w:tabs>
      </w:pPr>
    </w:p>
    <w:p w:rsidR="00EC3602" w:rsidRPr="00EC3602" w:rsidRDefault="00EC3602" w:rsidP="00EC3602">
      <w:pPr>
        <w:tabs>
          <w:tab w:val="left" w:pos="1860"/>
        </w:tabs>
      </w:pPr>
      <w:r w:rsidRPr="00EC3602">
        <w:rPr>
          <w:noProof/>
          <w:lang w:eastAsia="hr-HR"/>
        </w:rPr>
        <w:lastRenderedPageBreak/>
        <w:drawing>
          <wp:inline distT="0" distB="0" distL="0" distR="0">
            <wp:extent cx="5760720" cy="814398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602" w:rsidRPr="00EC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91" w:rsidRDefault="00E25791" w:rsidP="00EC3602">
      <w:pPr>
        <w:spacing w:after="0" w:line="240" w:lineRule="auto"/>
      </w:pPr>
      <w:r>
        <w:separator/>
      </w:r>
    </w:p>
  </w:endnote>
  <w:endnote w:type="continuationSeparator" w:id="0">
    <w:p w:rsidR="00E25791" w:rsidRDefault="00E25791" w:rsidP="00EC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91" w:rsidRDefault="00E25791" w:rsidP="00EC3602">
      <w:pPr>
        <w:spacing w:after="0" w:line="240" w:lineRule="auto"/>
      </w:pPr>
      <w:r>
        <w:separator/>
      </w:r>
    </w:p>
  </w:footnote>
  <w:footnote w:type="continuationSeparator" w:id="0">
    <w:p w:rsidR="00E25791" w:rsidRDefault="00E25791" w:rsidP="00EC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3D5"/>
    <w:multiLevelType w:val="hybridMultilevel"/>
    <w:tmpl w:val="5542399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94445"/>
    <w:multiLevelType w:val="hybridMultilevel"/>
    <w:tmpl w:val="61A42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6051"/>
    <w:multiLevelType w:val="hybridMultilevel"/>
    <w:tmpl w:val="9EBC1E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FC3D80"/>
    <w:multiLevelType w:val="hybridMultilevel"/>
    <w:tmpl w:val="263A0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0"/>
    <w:rsid w:val="00032F7E"/>
    <w:rsid w:val="0003308C"/>
    <w:rsid w:val="00035223"/>
    <w:rsid w:val="0005399E"/>
    <w:rsid w:val="00091A29"/>
    <w:rsid w:val="000B105B"/>
    <w:rsid w:val="000C1FD9"/>
    <w:rsid w:val="00105C7A"/>
    <w:rsid w:val="00140F21"/>
    <w:rsid w:val="001451B9"/>
    <w:rsid w:val="00190716"/>
    <w:rsid w:val="001A204F"/>
    <w:rsid w:val="0020451B"/>
    <w:rsid w:val="00222EDC"/>
    <w:rsid w:val="0025071C"/>
    <w:rsid w:val="00286551"/>
    <w:rsid w:val="00294FEA"/>
    <w:rsid w:val="002D6893"/>
    <w:rsid w:val="00310B33"/>
    <w:rsid w:val="003242B4"/>
    <w:rsid w:val="003261E2"/>
    <w:rsid w:val="00354C59"/>
    <w:rsid w:val="0037261C"/>
    <w:rsid w:val="00393424"/>
    <w:rsid w:val="003E7F02"/>
    <w:rsid w:val="00402CDC"/>
    <w:rsid w:val="00416098"/>
    <w:rsid w:val="00442B3A"/>
    <w:rsid w:val="00495F42"/>
    <w:rsid w:val="004F4044"/>
    <w:rsid w:val="00507268"/>
    <w:rsid w:val="00511AF5"/>
    <w:rsid w:val="00522B22"/>
    <w:rsid w:val="00573731"/>
    <w:rsid w:val="00577FB1"/>
    <w:rsid w:val="005E19B0"/>
    <w:rsid w:val="005F06E5"/>
    <w:rsid w:val="005F5C65"/>
    <w:rsid w:val="006242BC"/>
    <w:rsid w:val="006268C5"/>
    <w:rsid w:val="006A10A6"/>
    <w:rsid w:val="006B2125"/>
    <w:rsid w:val="006C09BE"/>
    <w:rsid w:val="00705A09"/>
    <w:rsid w:val="00707BC9"/>
    <w:rsid w:val="00722759"/>
    <w:rsid w:val="0072333B"/>
    <w:rsid w:val="00726E05"/>
    <w:rsid w:val="0073791D"/>
    <w:rsid w:val="00745CD9"/>
    <w:rsid w:val="0074641D"/>
    <w:rsid w:val="00770410"/>
    <w:rsid w:val="00780228"/>
    <w:rsid w:val="007C2BAF"/>
    <w:rsid w:val="008108E3"/>
    <w:rsid w:val="00811CE1"/>
    <w:rsid w:val="00847DFC"/>
    <w:rsid w:val="008B0175"/>
    <w:rsid w:val="008C736F"/>
    <w:rsid w:val="008D6922"/>
    <w:rsid w:val="008F7F75"/>
    <w:rsid w:val="00935B52"/>
    <w:rsid w:val="0094628A"/>
    <w:rsid w:val="0094681C"/>
    <w:rsid w:val="00964E7C"/>
    <w:rsid w:val="00972B7D"/>
    <w:rsid w:val="009A78E2"/>
    <w:rsid w:val="009B4ADF"/>
    <w:rsid w:val="009B5ACA"/>
    <w:rsid w:val="00A45F27"/>
    <w:rsid w:val="00A620B4"/>
    <w:rsid w:val="00AD2015"/>
    <w:rsid w:val="00B23EE1"/>
    <w:rsid w:val="00B742B7"/>
    <w:rsid w:val="00B76DCC"/>
    <w:rsid w:val="00B83EA5"/>
    <w:rsid w:val="00BA5B87"/>
    <w:rsid w:val="00C415FB"/>
    <w:rsid w:val="00CB1B2C"/>
    <w:rsid w:val="00CB71FF"/>
    <w:rsid w:val="00CD6DD5"/>
    <w:rsid w:val="00D2624E"/>
    <w:rsid w:val="00D31978"/>
    <w:rsid w:val="00D54C09"/>
    <w:rsid w:val="00D90BF7"/>
    <w:rsid w:val="00D91839"/>
    <w:rsid w:val="00DC355D"/>
    <w:rsid w:val="00DE6DC7"/>
    <w:rsid w:val="00E25791"/>
    <w:rsid w:val="00E45761"/>
    <w:rsid w:val="00E6413C"/>
    <w:rsid w:val="00E90B37"/>
    <w:rsid w:val="00EC3602"/>
    <w:rsid w:val="00EF5C6E"/>
    <w:rsid w:val="00F10EE4"/>
    <w:rsid w:val="00F66800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1A9D-C4F5-4BBC-88E7-DF914A1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A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F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C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602"/>
  </w:style>
  <w:style w:type="paragraph" w:styleId="Podnoje">
    <w:name w:val="footer"/>
    <w:basedOn w:val="Normal"/>
    <w:link w:val="PodnojeChar"/>
    <w:uiPriority w:val="99"/>
    <w:unhideWhenUsed/>
    <w:rsid w:val="00EC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Marek</dc:creator>
  <cp:keywords/>
  <dc:description/>
  <cp:lastModifiedBy>MARIJANA</cp:lastModifiedBy>
  <cp:revision>12</cp:revision>
  <cp:lastPrinted>2021-02-01T08:28:00Z</cp:lastPrinted>
  <dcterms:created xsi:type="dcterms:W3CDTF">2022-01-28T14:36:00Z</dcterms:created>
  <dcterms:modified xsi:type="dcterms:W3CDTF">2023-01-31T11:22:00Z</dcterms:modified>
</cp:coreProperties>
</file>